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8368B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140E26" w:rsidP="00C37D38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B7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879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74E6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07ACB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879">
        <w:rPr>
          <w:rFonts w:ascii="Times New Roman" w:hAnsi="Times New Roman" w:cs="Times New Roman"/>
          <w:sz w:val="28"/>
          <w:szCs w:val="28"/>
          <w:lang w:val="uk-UA"/>
        </w:rPr>
        <w:t>49</w:t>
      </w:r>
    </w:p>
    <w:p w:rsidR="006307CF" w:rsidRPr="00CD2879" w:rsidRDefault="006307CF" w:rsidP="00140E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2879">
        <w:rPr>
          <w:rFonts w:ascii="Times New Roman" w:hAnsi="Times New Roman" w:cs="Times New Roman"/>
          <w:sz w:val="28"/>
          <w:szCs w:val="28"/>
          <w:lang w:val="uk-UA"/>
        </w:rPr>
        <w:t xml:space="preserve">Про програму розвитку </w:t>
      </w:r>
      <w:r w:rsidR="00140E26" w:rsidRPr="00CD2879">
        <w:rPr>
          <w:rFonts w:ascii="Times New Roman" w:hAnsi="Times New Roman" w:cs="Times New Roman"/>
          <w:sz w:val="28"/>
          <w:szCs w:val="28"/>
          <w:lang w:val="uk-UA"/>
        </w:rPr>
        <w:t>туризму</w:t>
      </w:r>
    </w:p>
    <w:p w:rsidR="00140E26" w:rsidRPr="00CD2879" w:rsidRDefault="00140E26" w:rsidP="00140E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2879">
        <w:rPr>
          <w:rFonts w:ascii="Times New Roman" w:hAnsi="Times New Roman" w:cs="Times New Roman"/>
          <w:sz w:val="28"/>
          <w:szCs w:val="28"/>
          <w:lang w:val="uk-UA"/>
        </w:rPr>
        <w:t xml:space="preserve">на території Шубківської сільської </w:t>
      </w:r>
    </w:p>
    <w:p w:rsidR="0034483C" w:rsidRPr="00CD2879" w:rsidRDefault="00140E26" w:rsidP="00140E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D2879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6307CF" w:rsidRPr="00CD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879">
        <w:rPr>
          <w:rFonts w:ascii="Times New Roman" w:hAnsi="Times New Roman" w:cs="Times New Roman"/>
          <w:sz w:val="28"/>
          <w:szCs w:val="28"/>
          <w:lang w:val="uk-UA"/>
        </w:rPr>
        <w:t>на 2018-2020</w:t>
      </w:r>
      <w:r w:rsidR="0034483C" w:rsidRPr="00CD2879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013AED" w:rsidRDefault="00AD7771" w:rsidP="00013AED">
      <w:pPr>
        <w:pStyle w:val="a3"/>
        <w:jc w:val="both"/>
        <w:rPr>
          <w:rFonts w:ascii="Times New Roman" w:hAnsi="Times New Roman" w:cs="Times New Roman"/>
          <w:color w:val="20A142"/>
          <w:sz w:val="28"/>
          <w:szCs w:val="28"/>
          <w:shd w:val="clear" w:color="auto" w:fill="FFFFFF"/>
          <w:lang w:val="uk-UA"/>
        </w:rPr>
      </w:pPr>
      <w:r w:rsidRPr="006307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307CF" w:rsidRPr="00013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Указу Президента України 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 12 січня 2015 року №5/2015 «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стратегію сталого розвитку “Україна-2020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постанови Кабінету Міністрів Україн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 від 06 серпня 2014 року №385 «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державної стратегії регіонального розвитку на період до 2020 року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розпорядження Кабінету Міністрів України від 06 серпня 2008 року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1088-р «</w:t>
      </w:r>
      <w:r w:rsidR="00013AED" w:rsidRP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схвалення стратегії розвитку туризму і курортів</w:t>
      </w:r>
      <w:r w:rsidR="00013A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6307CF" w:rsidRPr="00013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13AED" w:rsidRPr="00013A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сталого розвитку туризму на території, </w:t>
      </w:r>
      <w:r w:rsidR="00662F28" w:rsidRPr="00013AED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8A549B" w:rsidRPr="00013AED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CD2879" w:rsidRPr="00013AED">
        <w:rPr>
          <w:rFonts w:ascii="Times New Roman" w:hAnsi="Times New Roman" w:cs="Times New Roman"/>
          <w:sz w:val="28"/>
          <w:szCs w:val="28"/>
          <w:lang w:val="uk-UA"/>
        </w:rPr>
        <w:t xml:space="preserve"> ст.27 та ст. 32</w:t>
      </w:r>
      <w:r w:rsidR="008A549B" w:rsidRPr="00013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879" w:rsidRPr="00013AED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FA3CCF" w:rsidRPr="00013AE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</w:t>
      </w:r>
      <w:r w:rsidR="00662F28" w:rsidRPr="00013AED">
        <w:rPr>
          <w:rFonts w:ascii="Times New Roman" w:hAnsi="Times New Roman" w:cs="Times New Roman"/>
          <w:sz w:val="28"/>
          <w:szCs w:val="28"/>
          <w:lang w:val="uk-UA"/>
        </w:rPr>
        <w:t xml:space="preserve">комітет Шубківської сільської ради </w:t>
      </w:r>
    </w:p>
    <w:p w:rsidR="0048550D" w:rsidRPr="00CD2879" w:rsidRDefault="004C090D" w:rsidP="00CD2879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 w:rsidRPr="00CD2879">
        <w:rPr>
          <w:rFonts w:ascii="Times New Roman" w:hAnsi="Times New Roman" w:cs="Times New Roman"/>
          <w:sz w:val="36"/>
          <w:szCs w:val="36"/>
          <w:lang w:val="uk-UA"/>
        </w:rPr>
        <w:t>вирішив:</w:t>
      </w:r>
    </w:p>
    <w:p w:rsidR="007961C5" w:rsidRDefault="00C37D38" w:rsidP="00CD28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="008A549B" w:rsidRPr="007961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07C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6307CF" w:rsidRPr="006307CF">
        <w:rPr>
          <w:rFonts w:ascii="Times New Roman" w:eastAsia="Times New Roman" w:hAnsi="Times New Roman" w:cs="Times New Roman"/>
          <w:sz w:val="28"/>
          <w:szCs w:val="28"/>
          <w:lang w:val="uk-UA"/>
        </w:rPr>
        <w:t>Прог</w:t>
      </w:r>
      <w:r w:rsidR="006307CF">
        <w:rPr>
          <w:rFonts w:ascii="Times New Roman" w:hAnsi="Times New Roman" w:cs="Times New Roman"/>
          <w:sz w:val="28"/>
          <w:szCs w:val="28"/>
          <w:lang w:val="uk-UA"/>
        </w:rPr>
        <w:t xml:space="preserve">раму розвитку </w:t>
      </w:r>
      <w:r w:rsidR="00CD2879">
        <w:rPr>
          <w:rFonts w:ascii="Times New Roman" w:hAnsi="Times New Roman" w:cs="Times New Roman"/>
          <w:sz w:val="28"/>
          <w:szCs w:val="28"/>
          <w:lang w:val="uk-UA"/>
        </w:rPr>
        <w:t xml:space="preserve">туризму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Шубківської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2018</w:t>
      </w:r>
      <w:r w:rsidR="008C6A02">
        <w:rPr>
          <w:rFonts w:ascii="Times New Roman" w:eastAsia="Times New Roman" w:hAnsi="Times New Roman" w:cs="Times New Roman"/>
          <w:sz w:val="28"/>
          <w:szCs w:val="28"/>
          <w:lang w:val="uk-UA"/>
        </w:rPr>
        <w:t>-2020</w:t>
      </w:r>
      <w:r w:rsidR="006307CF" w:rsidRPr="0063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роки»</w:t>
      </w:r>
      <w:r w:rsidR="00662F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67191" w:rsidRPr="007961C5" w:rsidRDefault="00767191" w:rsidP="00CD28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Направити </w:t>
      </w:r>
      <w:r w:rsidR="00013AED">
        <w:rPr>
          <w:rFonts w:ascii="Times New Roman" w:hAnsi="Times New Roman" w:cs="Times New Roman"/>
          <w:sz w:val="28"/>
          <w:szCs w:val="28"/>
          <w:lang w:val="uk-UA"/>
        </w:rPr>
        <w:t>Програму на затвердження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AED">
        <w:rPr>
          <w:rFonts w:ascii="Times New Roman" w:hAnsi="Times New Roman" w:cs="Times New Roman"/>
          <w:sz w:val="28"/>
          <w:szCs w:val="28"/>
          <w:lang w:val="uk-UA"/>
        </w:rPr>
        <w:t>Шубківської сільською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013AED">
        <w:rPr>
          <w:rFonts w:ascii="Times New Roman" w:hAnsi="Times New Roman" w:cs="Times New Roman"/>
          <w:sz w:val="28"/>
          <w:szCs w:val="28"/>
          <w:lang w:val="uk-UA"/>
        </w:rPr>
        <w:t>ою в установленому порядку.</w:t>
      </w:r>
    </w:p>
    <w:p w:rsidR="008A549B" w:rsidRPr="008A549B" w:rsidRDefault="008A549B" w:rsidP="00CD2879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3AED" w:rsidRPr="005B121B" w:rsidRDefault="00013AED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3A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013A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140E26" w:rsidRDefault="00140E2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0E26" w:rsidRDefault="00140E2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C6A02" w:rsidRDefault="008C6A02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7D38" w:rsidRDefault="00C37D38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18C3" w:rsidRDefault="000118C3" w:rsidP="00140E26">
      <w:pPr>
        <w:shd w:val="clear" w:color="auto" w:fill="FFFFFF"/>
        <w:spacing w:after="0" w:line="240" w:lineRule="auto"/>
        <w:ind w:firstLine="57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40E26" w:rsidRPr="008C6A02" w:rsidRDefault="00140E26" w:rsidP="00140E26">
      <w:pPr>
        <w:shd w:val="clear" w:color="auto" w:fill="FFFFFF"/>
        <w:spacing w:after="0" w:line="240" w:lineRule="auto"/>
        <w:ind w:firstLine="57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C6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Додаток</w:t>
      </w:r>
    </w:p>
    <w:p w:rsidR="00140E26" w:rsidRPr="008C6A02" w:rsidRDefault="00140E26" w:rsidP="00140E26">
      <w:pPr>
        <w:shd w:val="clear" w:color="auto" w:fill="FFFFFF"/>
        <w:spacing w:after="0" w:line="240" w:lineRule="auto"/>
        <w:ind w:firstLine="57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8C6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 </w:t>
      </w:r>
      <w:r w:rsidR="008C6A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рішення виконавчого комітету</w:t>
      </w:r>
    </w:p>
    <w:p w:rsidR="00140E26" w:rsidRPr="008C6A02" w:rsidRDefault="008C6A02" w:rsidP="00140E26">
      <w:pPr>
        <w:shd w:val="clear" w:color="auto" w:fill="FFFFFF"/>
        <w:spacing w:after="0" w:line="240" w:lineRule="auto"/>
        <w:ind w:firstLine="57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Шубківської сільської ради</w:t>
      </w:r>
    </w:p>
    <w:p w:rsidR="00140E26" w:rsidRPr="008C6A02" w:rsidRDefault="008C6A02" w:rsidP="00140E26">
      <w:pPr>
        <w:shd w:val="clear" w:color="auto" w:fill="FFFFFF"/>
        <w:spacing w:after="0" w:line="240" w:lineRule="auto"/>
        <w:ind w:firstLine="57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0D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600D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600D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600D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49</w:t>
      </w:r>
    </w:p>
    <w:p w:rsidR="00140E26" w:rsidRPr="00600DB3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E26" w:rsidRPr="00600DB3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E26" w:rsidRPr="00600DB3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Програма</w:t>
      </w:r>
    </w:p>
    <w:p w:rsidR="00140E26" w:rsidRPr="00600DB3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0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розвитку туризму в </w:t>
      </w:r>
      <w:proofErr w:type="spellStart"/>
      <w:r w:rsidR="000B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Шубківській</w:t>
      </w:r>
      <w:proofErr w:type="spellEnd"/>
      <w:r w:rsidR="000B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сільській раді</w:t>
      </w:r>
      <w:r w:rsidRPr="0060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на 201</w:t>
      </w:r>
      <w:r w:rsidR="000B62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8</w:t>
      </w:r>
      <w:r w:rsidRPr="00600D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-2020 роки</w:t>
      </w:r>
    </w:p>
    <w:p w:rsidR="00140E26" w:rsidRPr="00600DB3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І.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Загальні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положення</w:t>
      </w:r>
      <w:proofErr w:type="spellEnd"/>
    </w:p>
    <w:p w:rsidR="00140E26" w:rsidRPr="00140E26" w:rsidRDefault="00140E26" w:rsidP="000B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Туристична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вирізняється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з-поміж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своєю</w:t>
      </w:r>
      <w:proofErr w:type="spellEnd"/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багатогранністю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комплексністю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успішному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відіграє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поєднання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нематеріальних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об’єктом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людської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Вміле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потреб туризму дозволить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створити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передумови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прогресивних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суміжних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цілому</w:t>
      </w:r>
      <w:proofErr w:type="spellEnd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Враховуючи</w:t>
      </w:r>
      <w:proofErr w:type="spellEnd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факт, </w:t>
      </w:r>
      <w:proofErr w:type="spellStart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територія Шубківської сільської ради має певний</w:t>
      </w:r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</w:t>
      </w:r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ий</w:t>
      </w:r>
      <w:proofErr w:type="spellEnd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потенціа</w:t>
      </w:r>
      <w:proofErr w:type="spellEnd"/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л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62C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привабливе географічне розташування та екологічні зони,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можна</w:t>
      </w:r>
      <w:proofErr w:type="spellEnd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стверджувати</w:t>
      </w:r>
      <w:proofErr w:type="spellEnd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особливо «зеленого туризму», може стати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із важливих поштовхів до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іально-економічного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громади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ІІ. Мета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Програми</w:t>
      </w:r>
      <w:proofErr w:type="spellEnd"/>
    </w:p>
    <w:p w:rsidR="00140E26" w:rsidRPr="00140E26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розроблена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потенціалу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Шубківської сільської ради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конкурентоздатних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сприятимуть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іміджу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сільської ради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відтак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активізації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нашою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територією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40E26" w:rsidRPr="00140E26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Основною метою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зростання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безробіття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зацікавить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потенційних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інвесторів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сприятиме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іально-економічному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території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покращенню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добробуту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ІІІ. Шляхи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способи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розв’язання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Програми</w:t>
      </w:r>
      <w:proofErr w:type="spellEnd"/>
    </w:p>
    <w:p w:rsidR="00140E26" w:rsidRPr="00914929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Туризм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набуває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масового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характеру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вже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став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однією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провідних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прибуткових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найбільш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динамічних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галузей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господарства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Туристична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сфера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нині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об’єднує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івсотні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дотичних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галузей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зокрема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культуру,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мистецтво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спорт,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освіту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науку,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фінанси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зв’язок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народні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промисли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тощо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Кожен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учасник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туристичного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ринку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намагається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максимально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популяризувати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власний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туристичний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потенціал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як на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внутрішньому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так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</w:t>
      </w:r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іжнародному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ринку. 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отже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сфера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передбачає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максимальну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консолідацію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зусиль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великого числа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учасників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Туризм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сприяє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зміцненню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авторитету </w:t>
      </w:r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вітчизняній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арен</w:t>
      </w:r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імідж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території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сприяє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залученню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інвестицій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розвиває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інфраструктуру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району.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Зростання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потужностей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туристично-рекреаційної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інфраструктури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рахунок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залучення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внутрішніх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зовнішніх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інвестицій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має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стати одним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із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</w:t>
      </w:r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іоритетних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напрямків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соціально-економічного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 культурного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розвитку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Збільшення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внутрішніх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в’їзних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туристів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повинно стати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ефективним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інструментом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економічного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зростання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ru-RU"/>
        </w:rPr>
        <w:t>території</w:t>
      </w:r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</w:p>
    <w:p w:rsidR="00140E26" w:rsidRPr="00140E26" w:rsidRDefault="00140E26" w:rsidP="000B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Природно-ресурсний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потенці</w:t>
      </w:r>
      <w:proofErr w:type="gram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</w:t>
      </w:r>
      <w:proofErr w:type="spellEnd"/>
      <w:proofErr w:type="gram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із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історико-культурною</w:t>
      </w:r>
      <w:proofErr w:type="spellEnd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спадщиною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хороші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передумови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</w:t>
      </w:r>
      <w:proofErr w:type="spellStart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відпочинку</w:t>
      </w:r>
      <w:proofErr w:type="spellEnd"/>
      <w:r w:rsidRPr="0091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Одним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першочергових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велотуризму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дедалі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0B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 </w:t>
      </w:r>
      <w:r w:rsidR="0091492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 надалі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1C6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залишається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актуальним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передумовою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продукту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потужною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вагомим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чинником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Залишається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актуалізації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туризму,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та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іжнародних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контексті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імплементації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Європейським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Союзом.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набувають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етнотуристичних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кластері</w:t>
      </w:r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0B6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Важливою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складовою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привабливості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подієвий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</w:t>
      </w:r>
      <w:r w:rsidRPr="00140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оскільки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побачити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автентику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відчути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глибинну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суть.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Основні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завдання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E26" w:rsidRPr="00140E26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полягає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ідтримки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інфраструктури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екологічне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ефективності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рекреаційних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спадщини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поліпшенні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рекламного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Очікувані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0E26" w:rsidRPr="00140E26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дасть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змогу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ефективне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природно-рекреаційного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історико-культурного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</w:t>
      </w:r>
      <w:proofErr w:type="gram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ігійного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етнографічного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потенціалу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громади</w:t>
      </w:r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proofErr w:type="spellStart"/>
      <w:proofErr w:type="gram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ідвищити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соціально-економічного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сільської ради </w:t>
      </w:r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туризму;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створити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зможуть конкурувати</w:t>
      </w:r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</w:t>
      </w:r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ринках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сформувати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позитивний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туристичний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мідж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туристичної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привабливості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активізувати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потоки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територією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сільської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ради</w:t>
      </w:r>
      <w:proofErr w:type="gram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C91C66" w:rsidP="000B62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туризму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території сільської ради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стимулюватиме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економічну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активність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малого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бізнесу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сприятиме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створенню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ізних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секторах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економіки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високоякісного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туристично-рекреаційного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продукту та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конкурентоспроможної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внутрішньому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ринку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індустрії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рекреаційних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забезпечить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комплексний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="00140E26"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Pr="00140E26" w:rsidRDefault="00140E26" w:rsidP="00140E2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Контроль за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виконанням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40E26" w:rsidRPr="005F4643" w:rsidRDefault="00140E26" w:rsidP="000B62C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координацію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виконавчий комітет Шубківської сільської </w:t>
      </w:r>
      <w:proofErr w:type="gramStart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ради</w:t>
      </w:r>
      <w:proofErr w:type="gram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иконавч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ий</w:t>
      </w:r>
      <w:proofErr w:type="spellEnd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комітет</w:t>
      </w:r>
      <w:proofErr w:type="spellEnd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ої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ради звітується про виконання програми в кінці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року за весь час дії програми.</w:t>
      </w:r>
    </w:p>
    <w:p w:rsidR="00140E26" w:rsidRPr="00140E26" w:rsidRDefault="00140E26" w:rsidP="00140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40E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Pr="005F46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. Фінансове забезпечення</w:t>
      </w:r>
    </w:p>
    <w:p w:rsidR="000B62C2" w:rsidRPr="005F4643" w:rsidRDefault="00140E26" w:rsidP="005F46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Фінансове забезпечення програми здійснюватиметься за рахунок коштів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сільського бюджету, </w:t>
      </w:r>
      <w:r w:rsidRP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потенційних інвесторів, суб’єктів господарювання та інших джерел фінансування, не заборонених законодавством</w:t>
      </w:r>
      <w:r w:rsidRPr="00140E2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Одержувачем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Програми </w:t>
      </w:r>
      <w:proofErr w:type="spellStart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</w:t>
      </w:r>
      <w:proofErr w:type="spellEnd"/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Шубківська сільська рада </w:t>
      </w:r>
      <w:proofErr w:type="gramStart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gramEnd"/>
      <w:r w:rsidR="005F464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івненського району, Рівненської області</w:t>
      </w:r>
      <w:r w:rsidRPr="00140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0E26" w:rsidRDefault="00140E26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  <w:r w:rsidRPr="00FF0FD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C37D38" w:rsidRPr="00C37D38" w:rsidRDefault="00C37D38" w:rsidP="00C37D3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37D38">
        <w:rPr>
          <w:rFonts w:ascii="Times New Roman" w:hAnsi="Times New Roman" w:cs="Times New Roman"/>
          <w:sz w:val="24"/>
          <w:szCs w:val="24"/>
          <w:lang w:val="uk-UA"/>
        </w:rPr>
        <w:t xml:space="preserve">Сільський голова </w:t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C37D3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О. Іолтух</w:t>
      </w:r>
    </w:p>
    <w:p w:rsidR="005F4643" w:rsidRPr="00C37D38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F4643" w:rsidRDefault="005F4643" w:rsidP="00140E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val="uk-UA" w:eastAsia="ru-RU"/>
        </w:rPr>
      </w:pPr>
    </w:p>
    <w:p w:rsidR="0051627E" w:rsidRDefault="0051627E" w:rsidP="00600DB3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top"/>
    </w:p>
    <w:p w:rsidR="0051627E" w:rsidRDefault="0051627E" w:rsidP="00E03E97">
      <w:pPr>
        <w:pStyle w:val="a3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03E97" w:rsidRPr="00E03E97" w:rsidRDefault="00140E26" w:rsidP="00E03E97">
      <w:pPr>
        <w:pStyle w:val="a3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F4643">
        <w:rPr>
          <w:rFonts w:ascii="Times New Roman" w:eastAsia="Times New Roman" w:hAnsi="Times New Roman" w:cs="Times New Roman"/>
          <w:sz w:val="24"/>
          <w:szCs w:val="24"/>
        </w:rPr>
        <w:t>Додаток</w:t>
      </w:r>
      <w:proofErr w:type="spellEnd"/>
      <w:r w:rsidRPr="005F4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4643" w:rsidRDefault="00140E26" w:rsidP="00E03E97">
      <w:pPr>
        <w:pStyle w:val="a3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643">
        <w:rPr>
          <w:rFonts w:ascii="Times New Roman" w:eastAsia="Times New Roman" w:hAnsi="Times New Roman" w:cs="Times New Roman"/>
          <w:sz w:val="24"/>
          <w:szCs w:val="24"/>
        </w:rPr>
        <w:t xml:space="preserve">Заходи </w:t>
      </w:r>
      <w:proofErr w:type="spellStart"/>
      <w:r w:rsidRPr="005F4643">
        <w:rPr>
          <w:rFonts w:ascii="Times New Roman" w:eastAsia="Times New Roman" w:hAnsi="Times New Roman" w:cs="Times New Roman"/>
          <w:sz w:val="24"/>
          <w:szCs w:val="24"/>
        </w:rPr>
        <w:t>Програми</w:t>
      </w:r>
      <w:proofErr w:type="spellEnd"/>
      <w:r w:rsidR="005F46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F4643">
        <w:rPr>
          <w:rFonts w:ascii="Times New Roman" w:eastAsia="Times New Roman" w:hAnsi="Times New Roman" w:cs="Times New Roman"/>
          <w:sz w:val="24"/>
          <w:szCs w:val="24"/>
        </w:rPr>
        <w:t>розвитку</w:t>
      </w:r>
      <w:proofErr w:type="spellEnd"/>
      <w:r w:rsidRPr="005F4643">
        <w:rPr>
          <w:rFonts w:ascii="Times New Roman" w:eastAsia="Times New Roman" w:hAnsi="Times New Roman" w:cs="Times New Roman"/>
          <w:sz w:val="24"/>
          <w:szCs w:val="24"/>
        </w:rPr>
        <w:t xml:space="preserve"> туризму </w:t>
      </w:r>
    </w:p>
    <w:p w:rsidR="00140E26" w:rsidRPr="00E03E97" w:rsidRDefault="00140E26" w:rsidP="00E03E97">
      <w:pPr>
        <w:pStyle w:val="a3"/>
        <w:ind w:left="439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F46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5F4643">
        <w:rPr>
          <w:rFonts w:ascii="Times New Roman" w:eastAsia="Times New Roman" w:hAnsi="Times New Roman" w:cs="Times New Roman"/>
          <w:sz w:val="24"/>
          <w:szCs w:val="24"/>
          <w:lang w:val="uk-UA"/>
        </w:rPr>
        <w:t>Шубківській</w:t>
      </w:r>
      <w:proofErr w:type="spellEnd"/>
      <w:r w:rsidR="005F46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сільській раді</w:t>
      </w:r>
      <w:r w:rsidR="00E03E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03E97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E03E97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Pr="005F4643">
        <w:rPr>
          <w:rFonts w:ascii="Times New Roman" w:eastAsia="Times New Roman" w:hAnsi="Times New Roman" w:cs="Times New Roman"/>
          <w:sz w:val="24"/>
          <w:szCs w:val="24"/>
        </w:rPr>
        <w:t>-2020 роки</w:t>
      </w:r>
    </w:p>
    <w:p w:rsidR="00140E26" w:rsidRPr="00FF0FDE" w:rsidRDefault="00140E26" w:rsidP="00140E2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</w:pPr>
      <w:r w:rsidRPr="00FF0FDE">
        <w:rPr>
          <w:rFonts w:ascii="Verdana" w:eastAsia="Times New Roman" w:hAnsi="Verdana" w:cs="Times New Roman"/>
          <w:color w:val="18652C"/>
          <w:sz w:val="16"/>
          <w:szCs w:val="16"/>
          <w:lang w:eastAsia="ru-RU"/>
        </w:rPr>
        <w:t> </w:t>
      </w:r>
    </w:p>
    <w:tbl>
      <w:tblPr>
        <w:tblW w:w="10914" w:type="dxa"/>
        <w:tblInd w:w="-10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3"/>
        <w:gridCol w:w="4678"/>
        <w:gridCol w:w="2268"/>
        <w:gridCol w:w="709"/>
        <w:gridCol w:w="709"/>
        <w:gridCol w:w="709"/>
        <w:gridCol w:w="1418"/>
      </w:tblGrid>
      <w:tr w:rsidR="00140E26" w:rsidRPr="00FF0FDE" w:rsidTr="0034597B">
        <w:tc>
          <w:tcPr>
            <w:tcW w:w="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7E" w:rsidRDefault="0051627E" w:rsidP="00B77D05">
            <w:pPr>
              <w:spacing w:after="0" w:line="240" w:lineRule="auto"/>
              <w:jc w:val="center"/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51627E" w:rsidRDefault="0051627E" w:rsidP="00B77D05">
            <w:pPr>
              <w:spacing w:after="0" w:line="240" w:lineRule="auto"/>
              <w:jc w:val="center"/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Найменування</w:t>
            </w:r>
            <w:proofErr w:type="spellEnd"/>
          </w:p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заходу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1627E" w:rsidRDefault="0051627E" w:rsidP="00B77D05">
            <w:pPr>
              <w:spacing w:after="0" w:line="240" w:lineRule="auto"/>
              <w:jc w:val="center"/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40E26" w:rsidRPr="00FF0FDE" w:rsidRDefault="00140E26" w:rsidP="005162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Виконавці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E03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рахунок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коштів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3E97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сільського бюджету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тис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627E" w:rsidRDefault="0051627E" w:rsidP="00B77D05">
            <w:pPr>
              <w:spacing w:after="0" w:line="240" w:lineRule="auto"/>
              <w:jc w:val="center"/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</w:pPr>
          </w:p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Джерело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</w:p>
        </w:tc>
      </w:tr>
      <w:tr w:rsidR="00E03E97" w:rsidRPr="00FF0FDE" w:rsidTr="0034597B">
        <w:trPr>
          <w:trHeight w:val="311"/>
        </w:trPr>
        <w:tc>
          <w:tcPr>
            <w:tcW w:w="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E03E97" w:rsidRDefault="00E03E97" w:rsidP="00E03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  <w:p w:rsidR="00E03E97" w:rsidRPr="00E03E97" w:rsidRDefault="00E03E97" w:rsidP="00E03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E03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E03E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40E26" w:rsidRPr="00FF0FDE" w:rsidTr="0034597B">
        <w:tc>
          <w:tcPr>
            <w:tcW w:w="94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І.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Становлення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продукту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3E97" w:rsidRPr="00FF0FDE" w:rsidTr="00600DB3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3433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Розроблення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маршрутів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їх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впровадження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апробація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інформаційний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супровід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маркування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вказівників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облаштування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зон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).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E03E97" w:rsidRDefault="00E03E97" w:rsidP="00E03E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600D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E03E97" w:rsidRPr="00FF0FDE" w:rsidRDefault="00600DB3" w:rsidP="00600D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E03E97" w:rsidRDefault="00600DB3" w:rsidP="00600D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Створення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безпечних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умов для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обстеження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очистки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впорядкування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ішохідних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шляхів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моніторингу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стану,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виявлення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проблем та перспектив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туристичної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галузі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шляхом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обстежень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виїздів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оглядів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маркетингових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аналітичних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іологічних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досліджень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опитувань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галузі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туризму.</w:t>
            </w:r>
          </w:p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туризму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райдержадміністрації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виконавчі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комітети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сільських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селищних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рад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140E26" w:rsidRPr="00FF0FDE" w:rsidTr="0034597B">
        <w:tc>
          <w:tcPr>
            <w:tcW w:w="94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ІІ.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туристично-рекреаційної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територій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E26" w:rsidRPr="00FF0FDE" w:rsidRDefault="00140E26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щорічного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конкурсу </w:t>
            </w:r>
            <w:proofErr w:type="spellStart"/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ітлин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тематику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EC0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оновлення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вказівників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інформаційних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щитів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дорожніх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визначення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облаштування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територій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для стоянок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транспорту,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кемпінгів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санітарних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місць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біля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основних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туристично-екскурсійних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інфраструктурних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місцях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масового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відпочинку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населення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B77D05">
            <w:pPr>
              <w:spacing w:after="0" w:line="240" w:lineRule="auto"/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сільської ради</w:t>
            </w:r>
            <w:proofErr w:type="gramStart"/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,</w:t>
            </w:r>
            <w:proofErr w:type="gram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  <w:p w:rsidR="00600DB3" w:rsidRPr="00E03E97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Служба автомобільних доріг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EC0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E03E97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заходів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облаштування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впорядкування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об’єктів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територій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рекреаційного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призначення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сприяння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організації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екотуристичних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акцій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території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EC0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E03E97" w:rsidRPr="00FF0FDE" w:rsidTr="0034597B">
        <w:tc>
          <w:tcPr>
            <w:tcW w:w="94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ІІІ.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Розвиток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сільського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зеленого туризму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5162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Активізація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сільського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зеленого туризму шляхом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семінарі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та</w:t>
            </w:r>
            <w:proofErr w:type="gram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осіб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які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мають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можливість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бажання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займатися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сільським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зеленим туризмом.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34331A" w:rsidP="003433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Проведення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інформаційно-рекламн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их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заходів</w:t>
            </w:r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щодо</w:t>
            </w:r>
            <w:proofErr w:type="spellEnd"/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розвитку</w:t>
            </w:r>
            <w:proofErr w:type="spellEnd"/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сіль</w:t>
            </w:r>
            <w:r w:rsidR="00600DB3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ського</w:t>
            </w:r>
            <w:proofErr w:type="spellEnd"/>
            <w:r w:rsidR="00600DB3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зеленого туризму </w:t>
            </w:r>
            <w:r w:rsidR="00600DB3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на території сільської ради</w:t>
            </w:r>
            <w:r w:rsidR="00600DB3"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E03E97" w:rsidRPr="00FF0FDE" w:rsidTr="0034597B">
        <w:tc>
          <w:tcPr>
            <w:tcW w:w="949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IV.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маркетингової</w:t>
            </w:r>
            <w:proofErr w:type="spellEnd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кампанії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E97" w:rsidRPr="00FF0FDE" w:rsidRDefault="00E03E97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34597B" w:rsidRDefault="00600DB3" w:rsidP="003459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друкованої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брошур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календарів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рекламної продукції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потенціал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громади.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</w:tr>
      <w:tr w:rsidR="00600DB3" w:rsidRPr="00FF0FDE" w:rsidTr="0034597B"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B77D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5162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візуальної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реклами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туристичного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потенціалу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рад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и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в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</w:t>
            </w:r>
            <w:proofErr w:type="gram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ізних закладах та організаціях, а також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вздовж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автомобільних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доріг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EC05E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'sans-serif'" w:eastAsia="Times New Roman" w:hAnsi="'sans-serif'" w:cs="Times New Roman" w:hint="eastAsia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иконавч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ий</w:t>
            </w:r>
            <w:proofErr w:type="spellEnd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>комітет</w:t>
            </w:r>
            <w:proofErr w:type="spellEnd"/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сільської </w:t>
            </w:r>
            <w:proofErr w:type="gramStart"/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ради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Pr="00FF0FDE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  <w:p w:rsidR="00600DB3" w:rsidRDefault="00600DB3" w:rsidP="001265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  <w:t>-</w:t>
            </w:r>
          </w:p>
          <w:p w:rsidR="00600DB3" w:rsidRPr="00600DB3" w:rsidRDefault="00600DB3" w:rsidP="001265A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DB3" w:rsidRPr="00FF0FDE" w:rsidRDefault="00600DB3" w:rsidP="0034597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Сільський </w:t>
            </w:r>
            <w:r w:rsidRPr="00FF0FDE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eastAsia="ru-RU"/>
              </w:rPr>
              <w:t xml:space="preserve"> бюджет </w:t>
            </w:r>
          </w:p>
        </w:tc>
      </w:tr>
      <w:bookmarkEnd w:id="0"/>
    </w:tbl>
    <w:p w:rsidR="00140E26" w:rsidRPr="00C82B4F" w:rsidRDefault="00140E26" w:rsidP="000576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40E26" w:rsidRPr="00C82B4F" w:rsidSect="00516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18C3"/>
    <w:rsid w:val="00013AED"/>
    <w:rsid w:val="000576A9"/>
    <w:rsid w:val="0005798A"/>
    <w:rsid w:val="000634B5"/>
    <w:rsid w:val="00067907"/>
    <w:rsid w:val="00097B02"/>
    <w:rsid w:val="000B62C2"/>
    <w:rsid w:val="00104765"/>
    <w:rsid w:val="00140E26"/>
    <w:rsid w:val="00175154"/>
    <w:rsid w:val="00223375"/>
    <w:rsid w:val="00280454"/>
    <w:rsid w:val="002C1F46"/>
    <w:rsid w:val="003004DC"/>
    <w:rsid w:val="00304253"/>
    <w:rsid w:val="00334246"/>
    <w:rsid w:val="0034331A"/>
    <w:rsid w:val="0034483C"/>
    <w:rsid w:val="0034597B"/>
    <w:rsid w:val="00350DD5"/>
    <w:rsid w:val="00386D06"/>
    <w:rsid w:val="00391CF6"/>
    <w:rsid w:val="003E1B7C"/>
    <w:rsid w:val="00425943"/>
    <w:rsid w:val="00453DA2"/>
    <w:rsid w:val="00455475"/>
    <w:rsid w:val="00475507"/>
    <w:rsid w:val="00484E4D"/>
    <w:rsid w:val="0048550D"/>
    <w:rsid w:val="004B0CAA"/>
    <w:rsid w:val="004B3DAD"/>
    <w:rsid w:val="004C090D"/>
    <w:rsid w:val="0051627E"/>
    <w:rsid w:val="0055069F"/>
    <w:rsid w:val="00572C4D"/>
    <w:rsid w:val="00583FB8"/>
    <w:rsid w:val="005B121B"/>
    <w:rsid w:val="005C4015"/>
    <w:rsid w:val="005C40EB"/>
    <w:rsid w:val="005F4643"/>
    <w:rsid w:val="00600DB3"/>
    <w:rsid w:val="006011C7"/>
    <w:rsid w:val="006307CF"/>
    <w:rsid w:val="00662F28"/>
    <w:rsid w:val="00692B20"/>
    <w:rsid w:val="006E72BB"/>
    <w:rsid w:val="00706AE9"/>
    <w:rsid w:val="0074187E"/>
    <w:rsid w:val="00767191"/>
    <w:rsid w:val="007961C5"/>
    <w:rsid w:val="007F249A"/>
    <w:rsid w:val="00820153"/>
    <w:rsid w:val="008368B0"/>
    <w:rsid w:val="0086523C"/>
    <w:rsid w:val="008874FD"/>
    <w:rsid w:val="008A549B"/>
    <w:rsid w:val="008B2EB9"/>
    <w:rsid w:val="008B7099"/>
    <w:rsid w:val="008C6A02"/>
    <w:rsid w:val="008D014E"/>
    <w:rsid w:val="008D75C3"/>
    <w:rsid w:val="0090403D"/>
    <w:rsid w:val="00913E32"/>
    <w:rsid w:val="00914929"/>
    <w:rsid w:val="00923FA6"/>
    <w:rsid w:val="00945D1E"/>
    <w:rsid w:val="00947ADE"/>
    <w:rsid w:val="00954E13"/>
    <w:rsid w:val="009C0EC7"/>
    <w:rsid w:val="009F4310"/>
    <w:rsid w:val="00A000E3"/>
    <w:rsid w:val="00A33409"/>
    <w:rsid w:val="00A42458"/>
    <w:rsid w:val="00A70326"/>
    <w:rsid w:val="00AB642B"/>
    <w:rsid w:val="00AC525D"/>
    <w:rsid w:val="00AD7771"/>
    <w:rsid w:val="00AF2585"/>
    <w:rsid w:val="00B248D2"/>
    <w:rsid w:val="00B30478"/>
    <w:rsid w:val="00B45A91"/>
    <w:rsid w:val="00B6647F"/>
    <w:rsid w:val="00B8599D"/>
    <w:rsid w:val="00B9556D"/>
    <w:rsid w:val="00BC74E6"/>
    <w:rsid w:val="00BD1AE6"/>
    <w:rsid w:val="00BF2D13"/>
    <w:rsid w:val="00C11C2A"/>
    <w:rsid w:val="00C37D38"/>
    <w:rsid w:val="00C461B2"/>
    <w:rsid w:val="00C61B4B"/>
    <w:rsid w:val="00C82B4F"/>
    <w:rsid w:val="00C84624"/>
    <w:rsid w:val="00C91C66"/>
    <w:rsid w:val="00C94F2C"/>
    <w:rsid w:val="00CD2879"/>
    <w:rsid w:val="00CD566E"/>
    <w:rsid w:val="00CF3435"/>
    <w:rsid w:val="00D35F0D"/>
    <w:rsid w:val="00D432F4"/>
    <w:rsid w:val="00D44184"/>
    <w:rsid w:val="00D64EE6"/>
    <w:rsid w:val="00D85DB9"/>
    <w:rsid w:val="00D90D68"/>
    <w:rsid w:val="00D93ACB"/>
    <w:rsid w:val="00DD25C1"/>
    <w:rsid w:val="00DD345E"/>
    <w:rsid w:val="00DE4839"/>
    <w:rsid w:val="00E03E97"/>
    <w:rsid w:val="00E07ACB"/>
    <w:rsid w:val="00E158BF"/>
    <w:rsid w:val="00E37018"/>
    <w:rsid w:val="00E6591E"/>
    <w:rsid w:val="00EC3C6D"/>
    <w:rsid w:val="00EC7C8F"/>
    <w:rsid w:val="00ED1843"/>
    <w:rsid w:val="00ED344E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1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59</cp:revision>
  <cp:lastPrinted>2018-07-12T07:15:00Z</cp:lastPrinted>
  <dcterms:created xsi:type="dcterms:W3CDTF">2016-05-05T06:16:00Z</dcterms:created>
  <dcterms:modified xsi:type="dcterms:W3CDTF">2018-07-12T07:16:00Z</dcterms:modified>
</cp:coreProperties>
</file>