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4" w:rsidRPr="00FC12E8" w:rsidRDefault="00633DC4" w:rsidP="00633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2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C4" w:rsidRPr="00FC12E8" w:rsidRDefault="00633DC4" w:rsidP="003C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FC12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12E8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633DC4" w:rsidRPr="00FC12E8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2E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FC12E8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633DC4" w:rsidRPr="00FC12E8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E8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633DC4" w:rsidRPr="00FC12E8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33DC4" w:rsidRPr="00FC12E8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33DC4" w:rsidRPr="00FC12E8" w:rsidRDefault="00FC12E8" w:rsidP="00C308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735A7E" w:rsidRPr="00FC12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91109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633DC4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595147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191F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33DC4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5A7E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33DC4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</w:p>
    <w:p w:rsid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схвалення</w:t>
      </w:r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2019-2020 роки</w:t>
      </w:r>
    </w:p>
    <w:p w:rsidR="00FC12E8" w:rsidRPr="00FC12E8" w:rsidRDefault="00FC12E8" w:rsidP="00FC1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>Керуючись статтею  26,</w:t>
      </w:r>
      <w:r w:rsidR="0056128F">
        <w:rPr>
          <w:rFonts w:ascii="Times New Roman" w:hAnsi="Times New Roman" w:cs="Times New Roman"/>
          <w:sz w:val="28"/>
          <w:szCs w:val="28"/>
          <w:lang w:val="uk-UA"/>
        </w:rPr>
        <w:t xml:space="preserve"> 28, 38,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</w:t>
      </w:r>
      <w:proofErr w:type="spellStart"/>
      <w:r w:rsidRPr="00FC12E8">
        <w:rPr>
          <w:rFonts w:ascii="Times New Roman" w:hAnsi="Times New Roman" w:cs="Times New Roman"/>
          <w:sz w:val="28"/>
          <w:szCs w:val="28"/>
          <w:lang w:val="uk-UA"/>
        </w:rPr>
        <w:t>ʺПро</w:t>
      </w:r>
      <w:proofErr w:type="spellEnd"/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C12E8">
        <w:rPr>
          <w:rFonts w:ascii="Times New Roman" w:hAnsi="Times New Roman" w:cs="Times New Roman"/>
          <w:sz w:val="28"/>
          <w:szCs w:val="28"/>
          <w:lang w:val="uk-UA"/>
        </w:rPr>
        <w:t>Україніʺ</w:t>
      </w:r>
      <w:proofErr w:type="spellEnd"/>
      <w:r w:rsidRPr="00FC12E8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31-1, 325-1, 325-3 Кодексу України про адміністративні правопорушення, з метою забезпечення виконання</w:t>
      </w:r>
      <w:r w:rsidRPr="00FC12E8">
        <w:rPr>
          <w:rFonts w:ascii="Times New Roman" w:hAnsi="Times New Roman" w:cs="Times New Roman"/>
          <w:sz w:val="28"/>
          <w:szCs w:val="28"/>
        </w:rPr>
        <w:t> 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</w:t>
      </w:r>
      <w:proofErr w:type="spellStart"/>
      <w:r w:rsidRPr="00FC12E8">
        <w:rPr>
          <w:rFonts w:ascii="Times New Roman" w:hAnsi="Times New Roman" w:cs="Times New Roman"/>
          <w:sz w:val="28"/>
          <w:szCs w:val="28"/>
          <w:lang w:val="uk-UA"/>
        </w:rPr>
        <w:t>аліментівʺ</w:t>
      </w:r>
      <w:proofErr w:type="spellEnd"/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Шубківської сільської ради 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ВИРІШИВ :</w:t>
      </w:r>
    </w:p>
    <w:p w:rsidR="00FC12E8" w:rsidRPr="000C3E84" w:rsidRDefault="00FC12E8" w:rsidP="00FC1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8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C3E84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Pr="000C3E84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організації суспільно корисних робіт для порушників, на яких судом накладено адміністративне стягнення у вигляді виконання суспільно корисних робіт на 2019-2020 рік</w:t>
      </w:r>
      <w:r w:rsidRPr="00FC12E8">
        <w:rPr>
          <w:rFonts w:ascii="Times New Roman" w:hAnsi="Times New Roman" w:cs="Times New Roman"/>
          <w:sz w:val="28"/>
          <w:szCs w:val="28"/>
        </w:rPr>
        <w:t> </w:t>
      </w:r>
      <w:r w:rsidRPr="000C3E8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0C3E84" w:rsidRDefault="00FC12E8" w:rsidP="000C3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8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C3E84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затвердити </w:t>
      </w:r>
      <w:r w:rsidR="000C3E84" w:rsidRPr="000C3E84">
        <w:rPr>
          <w:rFonts w:ascii="Times New Roman" w:hAnsi="Times New Roman" w:cs="Times New Roman"/>
          <w:sz w:val="28"/>
          <w:szCs w:val="28"/>
          <w:lang w:val="uk-UA"/>
        </w:rPr>
        <w:t>Програму організації суспільно корисних робіт для порушників, на яких судом накладено адміністративне стягнення у вигляді виконання суспільно корисних робіт на 2019-2020 рік</w:t>
      </w:r>
      <w:r w:rsidR="000C3E84"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E84">
        <w:rPr>
          <w:rFonts w:ascii="Times New Roman" w:hAnsi="Times New Roman" w:cs="Times New Roman"/>
          <w:sz w:val="28"/>
          <w:szCs w:val="28"/>
          <w:lang w:val="uk-UA"/>
        </w:rPr>
        <w:t>на наступній черговій сесії сільської ради з можливістю виділення коштів</w:t>
      </w:r>
      <w:r w:rsidR="000C3E84" w:rsidRPr="000C3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E84" w:rsidRPr="00FC12E8">
        <w:rPr>
          <w:rFonts w:ascii="Times New Roman" w:hAnsi="Times New Roman" w:cs="Times New Roman"/>
          <w:sz w:val="28"/>
          <w:szCs w:val="28"/>
          <w:lang w:val="uk-UA"/>
        </w:rPr>
        <w:t>в межах фінансови</w:t>
      </w:r>
      <w:r w:rsidR="000C3E84">
        <w:rPr>
          <w:rFonts w:ascii="Times New Roman" w:hAnsi="Times New Roman" w:cs="Times New Roman"/>
          <w:sz w:val="28"/>
          <w:szCs w:val="28"/>
          <w:lang w:val="uk-UA"/>
        </w:rPr>
        <w:t>х можливостей місцевого бюджету.</w:t>
      </w:r>
    </w:p>
    <w:p w:rsidR="00FC12E8" w:rsidRPr="000C3E84" w:rsidRDefault="000C3E84" w:rsidP="000C3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C12E8" w:rsidRPr="00FC12E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C12E8" w:rsidRPr="00FC12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2E8" w:rsidRPr="00FC12E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12E8" w:rsidRPr="00FC1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12E8" w:rsidRPr="00FC12E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2E8" w:rsidRPr="00FC12E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голову.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сільської ради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394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Лагерник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C12E8" w:rsidRPr="00FC12E8" w:rsidRDefault="00FC12E8" w:rsidP="00FC1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Default="00FC12E8" w:rsidP="00FC1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E84" w:rsidRPr="00FC12E8" w:rsidRDefault="000C3E84" w:rsidP="00FC1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C12E8" w:rsidRDefault="00FC12E8" w:rsidP="00FC12E8">
      <w:pPr>
        <w:pStyle w:val="a3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>До рішення від 24.04.2019 року № 21</w:t>
      </w:r>
    </w:p>
    <w:p w:rsidR="00FC12E8" w:rsidRPr="00FC12E8" w:rsidRDefault="00FC12E8" w:rsidP="00FC12E8">
      <w:pPr>
        <w:pStyle w:val="a3"/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Програма</w:t>
      </w:r>
      <w:proofErr w:type="spellEnd"/>
    </w:p>
    <w:p w:rsidR="00FC12E8" w:rsidRPr="00FC12E8" w:rsidRDefault="00FC12E8" w:rsidP="00FC1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порушникі</w:t>
      </w:r>
      <w:proofErr w:type="gramStart"/>
      <w:r w:rsidRPr="00FC12E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bCs/>
          <w:sz w:val="28"/>
          <w:szCs w:val="28"/>
        </w:rPr>
        <w:t>,</w:t>
      </w:r>
    </w:p>
    <w:p w:rsidR="00FC12E8" w:rsidRPr="00FC12E8" w:rsidRDefault="00FC12E8" w:rsidP="00FC1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накладено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адміністративне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стягнення</w:t>
      </w:r>
      <w:proofErr w:type="spellEnd"/>
    </w:p>
    <w:p w:rsidR="00FC12E8" w:rsidRPr="00FC12E8" w:rsidRDefault="00FC12E8" w:rsidP="00FC1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на 2019-2020 роки</w:t>
      </w:r>
    </w:p>
    <w:p w:rsidR="00FC12E8" w:rsidRDefault="00FC12E8" w:rsidP="00FC12E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FC12E8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FC12E8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</w:p>
    <w:tbl>
      <w:tblPr>
        <w:tblpPr w:leftFromText="180" w:rightFromText="180" w:bottomFromText="160" w:vertAnchor="text" w:tblpY="31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3566"/>
        <w:gridCol w:w="5336"/>
      </w:tblGrid>
      <w:tr w:rsidR="00FC12E8" w:rsidRPr="00FC12E8" w:rsidTr="0029204C">
        <w:trPr>
          <w:trHeight w:val="1258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Шубківська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FC12E8" w:rsidRPr="00FC12E8" w:rsidTr="0029204C">
        <w:trPr>
          <w:trHeight w:val="2805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07.12.2017 року №2234-VIII «Про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належне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примусового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стягнення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сплати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аліментів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»,  Кодекс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Шубківської </w:t>
            </w: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FC12E8" w:rsidRPr="00FC12E8" w:rsidTr="0029204C">
        <w:trPr>
          <w:trHeight w:val="866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Шубківська</w:t>
            </w: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СКП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ʺШубківське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ʺ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2019 – 2020 роки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бюджеті</w:t>
            </w:r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6C477A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6C4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FC12E8" w:rsidRPr="006C477A" w:rsidRDefault="006C477A" w:rsidP="006C47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12E8"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FC12E8" w:rsidRPr="00FC12E8" w:rsidTr="0029204C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29204C">
            <w:pPr>
              <w:spacing w:before="225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FC12E8">
              <w:rPr>
                <w:rFonts w:ascii="Times New Roman" w:hAnsi="Times New Roman" w:cs="Times New Roman"/>
                <w:color w:val="444444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2E8" w:rsidRPr="00FC12E8" w:rsidRDefault="00FC12E8" w:rsidP="00FC1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заборонен</w:t>
            </w:r>
            <w:proofErr w:type="gram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2E8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FC12E8" w:rsidRDefault="00FC12E8" w:rsidP="00FC12E8">
      <w:pPr>
        <w:shd w:val="clear" w:color="auto" w:fill="FFFFFF"/>
        <w:spacing w:before="225"/>
        <w:rPr>
          <w:rFonts w:ascii="Times New Roman" w:hAnsi="Times New Roman" w:cs="Times New Roman"/>
          <w:b/>
          <w:bCs/>
          <w:color w:val="444444"/>
          <w:sz w:val="20"/>
          <w:szCs w:val="20"/>
          <w:lang w:val="uk-UA" w:eastAsia="uk-UA"/>
        </w:rPr>
      </w:pPr>
      <w:r w:rsidRPr="00FC12E8">
        <w:rPr>
          <w:rFonts w:ascii="Times New Roman" w:hAnsi="Times New Roman" w:cs="Times New Roman"/>
          <w:b/>
          <w:bCs/>
          <w:color w:val="444444"/>
          <w:sz w:val="20"/>
          <w:szCs w:val="20"/>
          <w:lang w:eastAsia="uk-UA"/>
        </w:rPr>
        <w:t> </w:t>
      </w:r>
    </w:p>
    <w:p w:rsidR="00FC12E8" w:rsidRPr="00FC12E8" w:rsidRDefault="00FC12E8" w:rsidP="00FC12E8">
      <w:pPr>
        <w:shd w:val="clear" w:color="auto" w:fill="FFFFFF"/>
        <w:spacing w:before="225"/>
        <w:rPr>
          <w:rFonts w:ascii="Times New Roman" w:hAnsi="Times New Roman" w:cs="Times New Roman"/>
          <w:b/>
          <w:bCs/>
          <w:color w:val="444444"/>
          <w:sz w:val="20"/>
          <w:szCs w:val="20"/>
          <w:lang w:val="uk-UA" w:eastAsia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FC12E8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FC12E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FC1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порушників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, на 2019-2020 роки (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текстом –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19.03.2013 № 474/5 “Про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виправних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суспільно-корисних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  статей 25, 26, 59 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07.12.2017 року №2234-VIII «Про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статей 31-1, 325-1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, 325-4  Кодексу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 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FC12E8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> 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2. Мета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суспільно-корисних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дозволить 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благоустрою,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сміттєзвалищ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відновленні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ремонту та доглядом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пам’ятками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меморіальними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похованнями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санітарному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придорожніх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вирубка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чагарників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3. Шляхи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проблем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2E8">
        <w:rPr>
          <w:rFonts w:ascii="Times New Roman" w:hAnsi="Times New Roman" w:cs="Times New Roman"/>
          <w:sz w:val="28"/>
          <w:szCs w:val="28"/>
        </w:rPr>
        <w:t xml:space="preserve">3.1.  Шляхами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проблем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 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рівненським </w:t>
      </w:r>
      <w:proofErr w:type="spellStart"/>
      <w:r w:rsidRPr="00FC12E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FC12E8">
        <w:rPr>
          <w:rFonts w:ascii="Times New Roman" w:hAnsi="Times New Roman" w:cs="Times New Roman"/>
          <w:sz w:val="28"/>
          <w:szCs w:val="28"/>
        </w:rPr>
        <w:t>районним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установи «Центр пробації»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Рівненській</w:t>
      </w:r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пробації)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> 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: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      -  установи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прилеглі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 них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C12E8" w:rsidRPr="00FC12E8" w:rsidRDefault="00FC12E8" w:rsidP="00CD05B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пенсіонері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>стихійні сміттєзвалища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  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> 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:</w:t>
      </w:r>
    </w:p>
    <w:p w:rsidR="00FC12E8" w:rsidRPr="00FC12E8" w:rsidRDefault="00FC12E8" w:rsidP="00CD05B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дитяч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>майданчикі</w:t>
      </w:r>
      <w:proofErr w:type="gramStart"/>
      <w:r w:rsidRPr="00FC12E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C12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2E8">
        <w:rPr>
          <w:rFonts w:ascii="Times New Roman" w:hAnsi="Times New Roman" w:cs="Times New Roman"/>
          <w:sz w:val="28"/>
          <w:szCs w:val="28"/>
        </w:rPr>
        <w:t xml:space="preserve">  с</w:t>
      </w:r>
      <w:proofErr w:type="spellStart"/>
      <w:r w:rsidRPr="00FC12E8">
        <w:rPr>
          <w:rFonts w:ascii="Times New Roman" w:hAnsi="Times New Roman" w:cs="Times New Roman"/>
          <w:sz w:val="28"/>
          <w:szCs w:val="28"/>
          <w:lang w:val="uk-UA"/>
        </w:rPr>
        <w:t>тадіону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єзвалищ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пенсіонерам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заготівля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рубання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дров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очистка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чагарників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придорожніх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благоустрою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       3.4.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: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погоджують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пробації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відбувають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уповноваженому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пробації 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>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пробації про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відпрацьованих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порушником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годин;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нараховують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перераховують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2E8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                        </w:t>
      </w:r>
    </w:p>
    <w:p w:rsid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CD0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12E8" w:rsidRPr="00FC12E8" w:rsidRDefault="00FC12E8" w:rsidP="00CD0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FC12E8">
        <w:rPr>
          <w:rFonts w:ascii="Times New Roman" w:hAnsi="Times New Roman" w:cs="Times New Roman"/>
          <w:b/>
          <w:bCs/>
          <w:sz w:val="28"/>
          <w:szCs w:val="28"/>
        </w:rPr>
        <w:t>іально-технічне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 5.1.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бюджету,  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видатками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бюджету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погодинно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відпрацьований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час,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2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меншому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2E8" w:rsidRPr="00FC12E8" w:rsidRDefault="006C477A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5.3.Загальний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FC12E8" w:rsidRPr="00FC12E8">
        <w:rPr>
          <w:rFonts w:ascii="Times New Roman" w:hAnsi="Times New Roman" w:cs="Times New Roman"/>
          <w:sz w:val="28"/>
          <w:szCs w:val="28"/>
        </w:rPr>
        <w:t>датків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C12E8" w:rsidRPr="00FC12E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в межах</w:t>
      </w:r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>фінансови</w:t>
      </w:r>
      <w:r>
        <w:rPr>
          <w:rFonts w:ascii="Times New Roman" w:hAnsi="Times New Roman" w:cs="Times New Roman"/>
          <w:sz w:val="28"/>
          <w:szCs w:val="28"/>
          <w:lang w:val="uk-UA"/>
        </w:rPr>
        <w:t>х можливостей місцевого бюджету.</w:t>
      </w:r>
      <w:r w:rsidR="00FC12E8"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2E8" w:rsidRPr="00FC12E8" w:rsidRDefault="00FC12E8" w:rsidP="00CD0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 xml:space="preserve"> 6.1.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боржниками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>.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C12E8" w:rsidRPr="00FC12E8" w:rsidRDefault="00FC12E8" w:rsidP="00CD0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gram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ходом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FC12E8" w:rsidRPr="00FC12E8" w:rsidRDefault="00FC12E8" w:rsidP="00CD05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2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2019-2020 роки 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E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C12E8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 w:rsidRPr="00FC12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Н. </w:t>
      </w:r>
      <w:r w:rsidRPr="00FC12E8">
        <w:rPr>
          <w:rFonts w:ascii="Times New Roman" w:hAnsi="Times New Roman" w:cs="Times New Roman"/>
          <w:sz w:val="28"/>
          <w:szCs w:val="28"/>
          <w:lang w:val="uk-UA"/>
        </w:rPr>
        <w:t xml:space="preserve">Лагерник </w:t>
      </w:r>
    </w:p>
    <w:p w:rsidR="00FC12E8" w:rsidRPr="00FC12E8" w:rsidRDefault="00FC12E8" w:rsidP="00FC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E8">
        <w:rPr>
          <w:rFonts w:ascii="Times New Roman" w:hAnsi="Times New Roman" w:cs="Times New Roman"/>
          <w:sz w:val="28"/>
          <w:szCs w:val="28"/>
        </w:rPr>
        <w:t> </w:t>
      </w:r>
    </w:p>
    <w:p w:rsidR="00FC12E8" w:rsidRPr="00FC12E8" w:rsidRDefault="00FC12E8" w:rsidP="00FC12E8">
      <w:pPr>
        <w:rPr>
          <w:rFonts w:ascii="Times New Roman" w:eastAsia="Calibri" w:hAnsi="Times New Roman" w:cs="Times New Roman"/>
          <w:sz w:val="28"/>
          <w:szCs w:val="28"/>
        </w:rPr>
      </w:pPr>
    </w:p>
    <w:p w:rsidR="0048550D" w:rsidRPr="00FC12E8" w:rsidRDefault="0048550D" w:rsidP="00FC12E8">
      <w:pPr>
        <w:pStyle w:val="a3"/>
        <w:rPr>
          <w:rFonts w:ascii="Times New Roman" w:hAnsi="Times New Roman" w:cs="Times New Roman"/>
          <w:szCs w:val="28"/>
          <w:lang w:val="uk-UA"/>
        </w:rPr>
      </w:pPr>
    </w:p>
    <w:sectPr w:rsidR="0048550D" w:rsidRPr="00FC12E8" w:rsidSect="00735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51219"/>
    <w:multiLevelType w:val="hybridMultilevel"/>
    <w:tmpl w:val="2D0A5A50"/>
    <w:lvl w:ilvl="0" w:tplc="4E546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D5156"/>
    <w:multiLevelType w:val="hybridMultilevel"/>
    <w:tmpl w:val="F672040C"/>
    <w:lvl w:ilvl="0" w:tplc="5E4ABD9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154A52"/>
    <w:multiLevelType w:val="hybridMultilevel"/>
    <w:tmpl w:val="DB28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6181"/>
    <w:multiLevelType w:val="multilevel"/>
    <w:tmpl w:val="C560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448FF"/>
    <w:rsid w:val="00051D62"/>
    <w:rsid w:val="000634B5"/>
    <w:rsid w:val="00071AFE"/>
    <w:rsid w:val="00097B02"/>
    <w:rsid w:val="000A5C14"/>
    <w:rsid w:val="000C3E84"/>
    <w:rsid w:val="000D6A75"/>
    <w:rsid w:val="000D7EC8"/>
    <w:rsid w:val="000E16E3"/>
    <w:rsid w:val="000E3EF4"/>
    <w:rsid w:val="000E4F1F"/>
    <w:rsid w:val="0010191F"/>
    <w:rsid w:val="00104765"/>
    <w:rsid w:val="00114F68"/>
    <w:rsid w:val="001264F2"/>
    <w:rsid w:val="00134001"/>
    <w:rsid w:val="00154F74"/>
    <w:rsid w:val="00162296"/>
    <w:rsid w:val="00175154"/>
    <w:rsid w:val="0017669F"/>
    <w:rsid w:val="001948E3"/>
    <w:rsid w:val="001A338F"/>
    <w:rsid w:val="001A42E6"/>
    <w:rsid w:val="001D4E85"/>
    <w:rsid w:val="00203F19"/>
    <w:rsid w:val="00205B48"/>
    <w:rsid w:val="00223375"/>
    <w:rsid w:val="002336CB"/>
    <w:rsid w:val="002679F8"/>
    <w:rsid w:val="00280454"/>
    <w:rsid w:val="002B1297"/>
    <w:rsid w:val="0030405A"/>
    <w:rsid w:val="00304253"/>
    <w:rsid w:val="00333B14"/>
    <w:rsid w:val="00350DD5"/>
    <w:rsid w:val="00386D06"/>
    <w:rsid w:val="003A1792"/>
    <w:rsid w:val="003A7DD8"/>
    <w:rsid w:val="003B4F2B"/>
    <w:rsid w:val="003C6125"/>
    <w:rsid w:val="003D0B9C"/>
    <w:rsid w:val="003E2F13"/>
    <w:rsid w:val="003E436B"/>
    <w:rsid w:val="003E78AD"/>
    <w:rsid w:val="0042348D"/>
    <w:rsid w:val="00425943"/>
    <w:rsid w:val="00432E9E"/>
    <w:rsid w:val="004368A3"/>
    <w:rsid w:val="00453DA2"/>
    <w:rsid w:val="004601A6"/>
    <w:rsid w:val="004705EE"/>
    <w:rsid w:val="00475507"/>
    <w:rsid w:val="0048490A"/>
    <w:rsid w:val="0048550D"/>
    <w:rsid w:val="00491109"/>
    <w:rsid w:val="004951FE"/>
    <w:rsid w:val="004B0CAA"/>
    <w:rsid w:val="004B3DAD"/>
    <w:rsid w:val="004B4D13"/>
    <w:rsid w:val="004C090D"/>
    <w:rsid w:val="00503946"/>
    <w:rsid w:val="00506123"/>
    <w:rsid w:val="0051214E"/>
    <w:rsid w:val="00537678"/>
    <w:rsid w:val="0055069F"/>
    <w:rsid w:val="00560A3C"/>
    <w:rsid w:val="0056128F"/>
    <w:rsid w:val="00566844"/>
    <w:rsid w:val="00583FB8"/>
    <w:rsid w:val="00595147"/>
    <w:rsid w:val="005A7818"/>
    <w:rsid w:val="005B121B"/>
    <w:rsid w:val="005C4015"/>
    <w:rsid w:val="005C40EB"/>
    <w:rsid w:val="005E01EA"/>
    <w:rsid w:val="00614325"/>
    <w:rsid w:val="00616F7E"/>
    <w:rsid w:val="00617C67"/>
    <w:rsid w:val="00633DC4"/>
    <w:rsid w:val="00645136"/>
    <w:rsid w:val="0068753C"/>
    <w:rsid w:val="006C477A"/>
    <w:rsid w:val="006E72BB"/>
    <w:rsid w:val="00704767"/>
    <w:rsid w:val="00735A7E"/>
    <w:rsid w:val="0074187E"/>
    <w:rsid w:val="007B1C7B"/>
    <w:rsid w:val="007B7B97"/>
    <w:rsid w:val="007E3C09"/>
    <w:rsid w:val="007F249A"/>
    <w:rsid w:val="008017FA"/>
    <w:rsid w:val="0080465C"/>
    <w:rsid w:val="00810E72"/>
    <w:rsid w:val="00812B73"/>
    <w:rsid w:val="00820153"/>
    <w:rsid w:val="00840382"/>
    <w:rsid w:val="00863F90"/>
    <w:rsid w:val="008874FD"/>
    <w:rsid w:val="008A0BF6"/>
    <w:rsid w:val="008A126D"/>
    <w:rsid w:val="008D014E"/>
    <w:rsid w:val="008D4138"/>
    <w:rsid w:val="008D6090"/>
    <w:rsid w:val="008E70F3"/>
    <w:rsid w:val="00910CA7"/>
    <w:rsid w:val="00947ADE"/>
    <w:rsid w:val="009A3B1A"/>
    <w:rsid w:val="009B3B74"/>
    <w:rsid w:val="009F4310"/>
    <w:rsid w:val="00A000E3"/>
    <w:rsid w:val="00A157B3"/>
    <w:rsid w:val="00A27077"/>
    <w:rsid w:val="00A33409"/>
    <w:rsid w:val="00A42458"/>
    <w:rsid w:val="00A67DF7"/>
    <w:rsid w:val="00A70326"/>
    <w:rsid w:val="00AA053C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48D2"/>
    <w:rsid w:val="00B30478"/>
    <w:rsid w:val="00B45A91"/>
    <w:rsid w:val="00B679FC"/>
    <w:rsid w:val="00B8599D"/>
    <w:rsid w:val="00BA3C5F"/>
    <w:rsid w:val="00BC3648"/>
    <w:rsid w:val="00BD5281"/>
    <w:rsid w:val="00BF2D13"/>
    <w:rsid w:val="00C02877"/>
    <w:rsid w:val="00C06F7F"/>
    <w:rsid w:val="00C11C2A"/>
    <w:rsid w:val="00C3087B"/>
    <w:rsid w:val="00C459BC"/>
    <w:rsid w:val="00C461B2"/>
    <w:rsid w:val="00C473C3"/>
    <w:rsid w:val="00C534CE"/>
    <w:rsid w:val="00C61B4B"/>
    <w:rsid w:val="00C65831"/>
    <w:rsid w:val="00C7282E"/>
    <w:rsid w:val="00C82B4F"/>
    <w:rsid w:val="00C84624"/>
    <w:rsid w:val="00CC73D6"/>
    <w:rsid w:val="00CD05BB"/>
    <w:rsid w:val="00CD566E"/>
    <w:rsid w:val="00CE4F27"/>
    <w:rsid w:val="00CF3435"/>
    <w:rsid w:val="00D01B17"/>
    <w:rsid w:val="00D117AC"/>
    <w:rsid w:val="00D22B08"/>
    <w:rsid w:val="00D35C0B"/>
    <w:rsid w:val="00D432F4"/>
    <w:rsid w:val="00D44184"/>
    <w:rsid w:val="00D85DB9"/>
    <w:rsid w:val="00D90D68"/>
    <w:rsid w:val="00DD25C1"/>
    <w:rsid w:val="00DD345E"/>
    <w:rsid w:val="00DD5BDE"/>
    <w:rsid w:val="00DF1F25"/>
    <w:rsid w:val="00DF23B1"/>
    <w:rsid w:val="00E01A1B"/>
    <w:rsid w:val="00E33DCD"/>
    <w:rsid w:val="00E43AC4"/>
    <w:rsid w:val="00E62812"/>
    <w:rsid w:val="00E6308B"/>
    <w:rsid w:val="00E929E7"/>
    <w:rsid w:val="00E96B8F"/>
    <w:rsid w:val="00ED1843"/>
    <w:rsid w:val="00ED344E"/>
    <w:rsid w:val="00EF7905"/>
    <w:rsid w:val="00F035D9"/>
    <w:rsid w:val="00F26330"/>
    <w:rsid w:val="00F473A9"/>
    <w:rsid w:val="00F86BC1"/>
    <w:rsid w:val="00F931DD"/>
    <w:rsid w:val="00FA1935"/>
    <w:rsid w:val="00FA3CCF"/>
    <w:rsid w:val="00FA51F4"/>
    <w:rsid w:val="00FC12E8"/>
    <w:rsid w:val="00FE16C9"/>
    <w:rsid w:val="00FE70E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10</cp:revision>
  <cp:lastPrinted>2018-03-06T12:14:00Z</cp:lastPrinted>
  <dcterms:created xsi:type="dcterms:W3CDTF">2018-03-06T12:17:00Z</dcterms:created>
  <dcterms:modified xsi:type="dcterms:W3CDTF">2019-04-24T08:41:00Z</dcterms:modified>
</cp:coreProperties>
</file>